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E54AB" w14:textId="77777777" w:rsidR="00654E8F" w:rsidRPr="001549D3" w:rsidRDefault="00654E8F" w:rsidP="0001436A">
      <w:pPr>
        <w:pStyle w:val="SupplementaryMaterial"/>
        <w:rPr>
          <w:b w:val="0"/>
        </w:rPr>
      </w:pPr>
      <w:r w:rsidRPr="001549D3">
        <w:t>Supplementary Material</w:t>
      </w:r>
    </w:p>
    <w:p w14:paraId="29026311" w14:textId="0CEC95BC" w:rsidR="00EA3D3C" w:rsidRPr="00994A3D" w:rsidRDefault="00654E8F" w:rsidP="0001436A">
      <w:pPr>
        <w:pStyle w:val="Heading1"/>
      </w:pPr>
      <w:r w:rsidRPr="00994A3D">
        <w:t xml:space="preserve">Supplementary </w:t>
      </w:r>
      <w:r w:rsidR="00A36EAE">
        <w:t>Tables</w:t>
      </w:r>
    </w:p>
    <w:p w14:paraId="03903E0C" w14:textId="6793334D" w:rsidR="00A36EAE" w:rsidRPr="001549D3" w:rsidRDefault="00A36EAE" w:rsidP="00A36EAE">
      <w:pPr>
        <w:keepNext/>
        <w:rPr>
          <w:rFonts w:cs="Times New Roman"/>
          <w:szCs w:val="24"/>
        </w:rPr>
      </w:pPr>
      <w:r w:rsidRPr="00A36EAE">
        <w:rPr>
          <w:rFonts w:cs="Times New Roman"/>
          <w:b/>
          <w:bCs/>
          <w:szCs w:val="24"/>
        </w:rPr>
        <w:t>Supplementary Table 1</w:t>
      </w:r>
      <w:r w:rsidRPr="00A36EAE">
        <w:rPr>
          <w:rFonts w:cs="Times New Roman"/>
          <w:szCs w:val="24"/>
        </w:rPr>
        <w:t>.  Trends, tidal datums, and extremes associated with the water levels from observations, CORA, and GLORYS12 (only trends). Trends in monthly sea level anomalies during 1993–2020 are shown with units of mm yr</w:t>
      </w:r>
      <w:r w:rsidRPr="00A36EAE">
        <w:rPr>
          <w:rFonts w:cs="Times New Roman"/>
          <w:szCs w:val="24"/>
          <w:vertAlign w:val="superscript"/>
        </w:rPr>
        <w:t>-1</w:t>
      </w:r>
      <w:r w:rsidRPr="00A36EAE">
        <w:rPr>
          <w:rFonts w:cs="Times New Roman"/>
          <w:szCs w:val="24"/>
        </w:rPr>
        <w:t xml:space="preserve"> and m. For the observations and CORA, water level characteristics are as follows: tidal datums (MSL and MHHW; both for the epochs 1983–2001 and 2002–2020) and 2% exceedance threshold of daily maximum water levels with respect to MHHW (2002–2020). Datums and extremes are calculated if at least five years are available in the epoch (see Table 1). Locations with water level gauges assimilated by CORA (plus signs next to the names)</w:t>
      </w:r>
      <w:r w:rsidR="004524B7">
        <w:rPr>
          <w:rFonts w:cs="Times New Roman"/>
          <w:szCs w:val="24"/>
        </w:rPr>
        <w:t>;</w:t>
      </w:r>
      <w:r w:rsidRPr="00A36EAE">
        <w:rPr>
          <w:rFonts w:cs="Times New Roman"/>
          <w:szCs w:val="24"/>
        </w:rPr>
        <w:t xml:space="preserve"> </w:t>
      </w:r>
      <w:r w:rsidR="004524B7">
        <w:rPr>
          <w:rFonts w:cs="Times New Roman"/>
          <w:szCs w:val="24"/>
        </w:rPr>
        <w:t xml:space="preserve">locations </w:t>
      </w:r>
      <w:r w:rsidRPr="00A36EAE">
        <w:rPr>
          <w:rFonts w:cs="Times New Roman"/>
          <w:szCs w:val="24"/>
        </w:rPr>
        <w:t>with less than 10 years of data (indicated by asterisks) are assessed only for trends.</w:t>
      </w:r>
    </w:p>
    <w:p w14:paraId="4916FCC9" w14:textId="14413AD5" w:rsidR="00994A3D" w:rsidRDefault="00A36EAE" w:rsidP="00994A3D">
      <w:pPr>
        <w:keepNext/>
        <w:rPr>
          <w:rFonts w:cs="Times New Roman"/>
          <w:szCs w:val="24"/>
        </w:rPr>
      </w:pPr>
      <w:r w:rsidRPr="00A36EAE">
        <w:rPr>
          <w:rFonts w:cs="Times New Roman"/>
          <w:b/>
          <w:bCs/>
          <w:szCs w:val="24"/>
        </w:rPr>
        <w:t>Supplementary Table 2</w:t>
      </w:r>
      <w:r w:rsidRPr="00A36EAE">
        <w:rPr>
          <w:rFonts w:cs="Times New Roman"/>
          <w:szCs w:val="24"/>
        </w:rPr>
        <w:t xml:space="preserve">. Performance metrics of GLORYS12 and CORA compared to observations. The evaluation is for monthly (both reanalyses) and hourly (CORA only) variability as described by the SD, ACC (monthly only), RMSE, and r (hourly only). </w:t>
      </w:r>
      <w:proofErr w:type="gramStart"/>
      <w:r w:rsidRPr="00A36EAE">
        <w:rPr>
          <w:rFonts w:cs="Times New Roman"/>
          <w:szCs w:val="24"/>
        </w:rPr>
        <w:t>Plus</w:t>
      </w:r>
      <w:proofErr w:type="gramEnd"/>
      <w:r w:rsidRPr="00A36EAE">
        <w:rPr>
          <w:rFonts w:cs="Times New Roman"/>
          <w:szCs w:val="24"/>
        </w:rPr>
        <w:t xml:space="preserve"> signs next to the location names indicate if water level gauges were assimilated by CORA. Locations with less than 10 years of observations are not assessed for these metrics.</w:t>
      </w:r>
    </w:p>
    <w:p w14:paraId="204F2B91" w14:textId="77777777" w:rsidR="00A36EAE" w:rsidRPr="00994A3D" w:rsidRDefault="00A36EAE" w:rsidP="00A36EAE">
      <w:pPr>
        <w:pStyle w:val="Heading1"/>
      </w:pPr>
      <w:r w:rsidRPr="00994A3D">
        <w:t xml:space="preserve">Supplementary </w:t>
      </w:r>
      <w:r>
        <w:t>Figures</w:t>
      </w:r>
    </w:p>
    <w:p w14:paraId="1CFF9DC2" w14:textId="2246F0EF" w:rsidR="00E96A52" w:rsidRDefault="00E96A52" w:rsidP="00E96A52">
      <w:pPr>
        <w:rPr>
          <w:rFonts w:cs="Times New Roman"/>
          <w:szCs w:val="24"/>
          <w:lang w:val="en-GB"/>
        </w:rPr>
      </w:pPr>
      <w:r w:rsidRPr="00E96A52">
        <w:rPr>
          <w:rFonts w:cs="Times New Roman"/>
          <w:b/>
          <w:bCs/>
          <w:szCs w:val="24"/>
          <w:lang w:val="en-GB"/>
        </w:rPr>
        <w:t>Supplementary Figure 1</w:t>
      </w:r>
      <w:r w:rsidRPr="003A09CD">
        <w:rPr>
          <w:rFonts w:cs="Times New Roman"/>
          <w:szCs w:val="24"/>
          <w:lang w:val="en-GB"/>
        </w:rPr>
        <w:t xml:space="preserve">. </w:t>
      </w:r>
      <w:r w:rsidRPr="006F2042">
        <w:rPr>
          <w:rFonts w:cs="Times New Roman"/>
          <w:szCs w:val="24"/>
          <w:lang w:val="en-GB"/>
        </w:rPr>
        <w:t>Long-term linear trend in monthly anomalies (mm yr</w:t>
      </w:r>
      <w:r w:rsidRPr="00A36EAE">
        <w:rPr>
          <w:rFonts w:cs="Times New Roman"/>
          <w:szCs w:val="24"/>
          <w:vertAlign w:val="superscript"/>
          <w:lang w:val="en-GB"/>
        </w:rPr>
        <w:t>-1</w:t>
      </w:r>
      <w:r w:rsidRPr="006F2042">
        <w:rPr>
          <w:rFonts w:cs="Times New Roman"/>
          <w:szCs w:val="24"/>
          <w:lang w:val="en-GB"/>
        </w:rPr>
        <w:t>) at model nodes (</w:t>
      </w:r>
      <w:proofErr w:type="spellStart"/>
      <w:r w:rsidRPr="006F2042">
        <w:rPr>
          <w:rFonts w:cs="Times New Roman"/>
          <w:szCs w:val="24"/>
          <w:lang w:val="en-GB"/>
        </w:rPr>
        <w:t>color</w:t>
      </w:r>
      <w:proofErr w:type="spellEnd"/>
      <w:r w:rsidRPr="006F2042">
        <w:rPr>
          <w:rFonts w:cs="Times New Roman"/>
          <w:szCs w:val="24"/>
          <w:lang w:val="en-GB"/>
        </w:rPr>
        <w:t xml:space="preserve"> bar shading) and water level gauges (circles are assimilated and squares are not assimilated in CORA). Water level gauges with incomplete records during 1993–2020 are indicated by dotted markers. Triangles indicate assimilated water level gauges with records shorter than 10 years. The maps show (A) the entire domain, (B) southern FL, and (C) southeastern FL (note the finer </w:t>
      </w:r>
      <w:proofErr w:type="spellStart"/>
      <w:r w:rsidRPr="006F2042">
        <w:rPr>
          <w:rFonts w:cs="Times New Roman"/>
          <w:szCs w:val="24"/>
          <w:lang w:val="en-GB"/>
        </w:rPr>
        <w:t>color</w:t>
      </w:r>
      <w:proofErr w:type="spellEnd"/>
      <w:r w:rsidRPr="006F2042">
        <w:rPr>
          <w:rFonts w:cs="Times New Roman"/>
          <w:szCs w:val="24"/>
          <w:lang w:val="en-GB"/>
        </w:rPr>
        <w:t xml:space="preserve"> bar scale). </w:t>
      </w:r>
      <w:r w:rsidR="00B7360A">
        <w:rPr>
          <w:rFonts w:cs="Times New Roman"/>
          <w:szCs w:val="24"/>
          <w:lang w:val="en-GB"/>
        </w:rPr>
        <w:t>Black a</w:t>
      </w:r>
      <w:r w:rsidRPr="006F2042">
        <w:rPr>
          <w:rFonts w:cs="Times New Roman"/>
          <w:szCs w:val="24"/>
          <w:lang w:val="en-GB"/>
        </w:rPr>
        <w:t>rrows in B and C indicate the Virginia Key and Lake Worth water level gauges</w:t>
      </w:r>
      <w:r w:rsidR="00B7360A">
        <w:rPr>
          <w:rFonts w:cs="Times New Roman"/>
          <w:szCs w:val="24"/>
          <w:lang w:val="en-GB"/>
        </w:rPr>
        <w:t xml:space="preserve"> and the white arrow in B indicates the Trident Pier gauge.</w:t>
      </w:r>
    </w:p>
    <w:p w14:paraId="1553CD3B" w14:textId="34871E30" w:rsidR="00E96A52" w:rsidRDefault="00E96A52" w:rsidP="00E96A52">
      <w:pPr>
        <w:rPr>
          <w:rFonts w:cs="Times New Roman"/>
          <w:szCs w:val="24"/>
          <w:lang w:val="en-GB"/>
        </w:rPr>
      </w:pPr>
      <w:r w:rsidRPr="00E96A52">
        <w:rPr>
          <w:rFonts w:cs="Times New Roman"/>
          <w:b/>
          <w:bCs/>
          <w:szCs w:val="24"/>
          <w:lang w:val="en-GB"/>
        </w:rPr>
        <w:t>Supplementary Figure 2</w:t>
      </w:r>
      <w:r w:rsidRPr="003A09CD">
        <w:rPr>
          <w:rFonts w:cs="Times New Roman"/>
          <w:szCs w:val="24"/>
          <w:lang w:val="en-GB"/>
        </w:rPr>
        <w:t xml:space="preserve">. </w:t>
      </w:r>
      <w:r w:rsidRPr="006F2042">
        <w:rPr>
          <w:rFonts w:cs="Times New Roman"/>
          <w:szCs w:val="24"/>
          <w:lang w:val="en-GB"/>
        </w:rPr>
        <w:t xml:space="preserve">The monthly annual cycle </w:t>
      </w:r>
      <w:r w:rsidR="00A36EAE" w:rsidRPr="006F2042">
        <w:rPr>
          <w:rFonts w:cs="Times New Roman"/>
          <w:szCs w:val="24"/>
          <w:lang w:val="en-GB"/>
        </w:rPr>
        <w:t>for (</w:t>
      </w:r>
      <w:r w:rsidRPr="006F2042">
        <w:rPr>
          <w:rFonts w:cs="Times New Roman"/>
          <w:szCs w:val="24"/>
          <w:lang w:val="en-GB"/>
        </w:rPr>
        <w:t>A) observations, (B) GLORYS12 nearest the water level gauges, (C) CORA at assimilated water level gauges, and (D) CORA at non-assimilated water level gauges. Blue and yellow lines refer to the East and Gulf Coast locations, respectively</w:t>
      </w:r>
      <w:r w:rsidR="00AB6297">
        <w:rPr>
          <w:rFonts w:cs="Times New Roman"/>
          <w:szCs w:val="24"/>
          <w:lang w:val="en-GB"/>
        </w:rPr>
        <w:t>. Thick solid (dashed) lines indicate East (Gulf) Coast averages.</w:t>
      </w:r>
      <w:r w:rsidRPr="006F2042">
        <w:rPr>
          <w:rFonts w:cs="Times New Roman"/>
          <w:szCs w:val="24"/>
          <w:lang w:val="en-GB"/>
        </w:rPr>
        <w:t xml:space="preserve"> Annual cycles are normalized to have a mean of zero.</w:t>
      </w:r>
      <w:r w:rsidRPr="003A09CD">
        <w:rPr>
          <w:rFonts w:cs="Times New Roman"/>
          <w:szCs w:val="24"/>
          <w:lang w:val="en-GB"/>
        </w:rPr>
        <w:t xml:space="preserve"> </w:t>
      </w:r>
    </w:p>
    <w:p w14:paraId="3E9DE4B0" w14:textId="7CAF34DA" w:rsidR="00A17CD5" w:rsidRDefault="00A17CD5" w:rsidP="00E96A52">
      <w:pPr>
        <w:rPr>
          <w:rFonts w:cs="Times New Roman"/>
          <w:szCs w:val="24"/>
          <w:lang w:val="en-GB"/>
        </w:rPr>
      </w:pPr>
      <w:r w:rsidRPr="00E96A52">
        <w:rPr>
          <w:rFonts w:cs="Times New Roman"/>
          <w:b/>
          <w:bCs/>
          <w:szCs w:val="24"/>
          <w:lang w:val="en-GB"/>
        </w:rPr>
        <w:t xml:space="preserve">Supplementary Figure </w:t>
      </w:r>
      <w:r>
        <w:rPr>
          <w:rFonts w:cs="Times New Roman"/>
          <w:b/>
          <w:bCs/>
          <w:szCs w:val="24"/>
          <w:lang w:val="en-GB"/>
        </w:rPr>
        <w:t>3</w:t>
      </w:r>
      <w:r w:rsidRPr="003A09CD">
        <w:rPr>
          <w:rFonts w:cs="Times New Roman"/>
          <w:szCs w:val="24"/>
          <w:lang w:val="en-GB"/>
        </w:rPr>
        <w:t xml:space="preserve">. </w:t>
      </w:r>
      <w:r w:rsidR="00E11890">
        <w:rPr>
          <w:rFonts w:cs="Times New Roman"/>
          <w:szCs w:val="24"/>
          <w:lang w:val="en-GB"/>
        </w:rPr>
        <w:t xml:space="preserve">Occurrence </w:t>
      </w:r>
      <w:r>
        <w:rPr>
          <w:rFonts w:cs="Times New Roman"/>
          <w:szCs w:val="24"/>
          <w:lang w:val="en-GB"/>
        </w:rPr>
        <w:t xml:space="preserve">of </w:t>
      </w:r>
      <w:r w:rsidR="00E11890">
        <w:rPr>
          <w:rFonts w:cs="Times New Roman"/>
          <w:szCs w:val="24"/>
          <w:lang w:val="en-GB"/>
        </w:rPr>
        <w:t xml:space="preserve">the </w:t>
      </w:r>
      <w:r>
        <w:rPr>
          <w:rFonts w:cs="Times New Roman"/>
          <w:szCs w:val="24"/>
          <w:lang w:val="en-GB"/>
        </w:rPr>
        <w:t>daily highest water levels</w:t>
      </w:r>
      <w:r w:rsidR="00DE1659">
        <w:rPr>
          <w:rFonts w:cs="Times New Roman"/>
          <w:szCs w:val="24"/>
          <w:lang w:val="en-GB"/>
        </w:rPr>
        <w:t xml:space="preserve"> </w:t>
      </w:r>
      <w:r w:rsidR="00DE1659" w:rsidRPr="003F535E">
        <w:rPr>
          <w:rFonts w:cs="Times New Roman"/>
          <w:szCs w:val="24"/>
        </w:rPr>
        <w:t>with respect to MHHW</w:t>
      </w:r>
      <w:r>
        <w:rPr>
          <w:rFonts w:cs="Times New Roman"/>
          <w:szCs w:val="24"/>
          <w:lang w:val="en-GB"/>
        </w:rPr>
        <w:t xml:space="preserve">. Panel I (top) </w:t>
      </w:r>
      <w:proofErr w:type="gramStart"/>
      <w:r w:rsidR="00A41760">
        <w:rPr>
          <w:rFonts w:cs="Times New Roman"/>
          <w:szCs w:val="24"/>
          <w:lang w:val="en-GB"/>
        </w:rPr>
        <w:t>represent</w:t>
      </w:r>
      <w:r w:rsidR="005D309D">
        <w:rPr>
          <w:rFonts w:cs="Times New Roman"/>
          <w:szCs w:val="24"/>
          <w:lang w:val="en-GB"/>
        </w:rPr>
        <w:t>s</w:t>
      </w:r>
      <w:proofErr w:type="gramEnd"/>
      <w:r>
        <w:rPr>
          <w:rFonts w:cs="Times New Roman"/>
          <w:szCs w:val="24"/>
          <w:lang w:val="en-GB"/>
        </w:rPr>
        <w:t xml:space="preserve"> observations and Panel II (bottom) represents CORA for (</w:t>
      </w:r>
      <w:r w:rsidRPr="006F2042">
        <w:rPr>
          <w:rFonts w:cs="Times New Roman"/>
          <w:szCs w:val="24"/>
          <w:lang w:val="en-GB"/>
        </w:rPr>
        <w:t>A) Boston, (B) Newport, (C) The Battery, (D) Sewells Point, (E) Charleston, (F</w:t>
      </w:r>
      <w:r>
        <w:rPr>
          <w:rFonts w:cs="Times New Roman"/>
          <w:szCs w:val="24"/>
          <w:lang w:val="en-GB"/>
        </w:rPr>
        <w:t>)</w:t>
      </w:r>
      <w:r w:rsidRPr="006F2042">
        <w:rPr>
          <w:rFonts w:cs="Times New Roman"/>
          <w:szCs w:val="24"/>
          <w:lang w:val="en-GB"/>
        </w:rPr>
        <w:t xml:space="preserve"> Virginia Key, (</w:t>
      </w:r>
      <w:r>
        <w:rPr>
          <w:rFonts w:cs="Times New Roman"/>
          <w:szCs w:val="24"/>
          <w:lang w:val="en-GB"/>
        </w:rPr>
        <w:t>G</w:t>
      </w:r>
      <w:r w:rsidRPr="006F2042">
        <w:rPr>
          <w:rFonts w:cs="Times New Roman"/>
          <w:szCs w:val="24"/>
          <w:lang w:val="en-GB"/>
        </w:rPr>
        <w:t>) Grand Isle, and (</w:t>
      </w:r>
      <w:r>
        <w:rPr>
          <w:rFonts w:cs="Times New Roman"/>
          <w:szCs w:val="24"/>
          <w:lang w:val="en-GB"/>
        </w:rPr>
        <w:t>H</w:t>
      </w:r>
      <w:r w:rsidRPr="006F2042">
        <w:rPr>
          <w:rFonts w:cs="Times New Roman"/>
          <w:szCs w:val="24"/>
          <w:lang w:val="en-GB"/>
        </w:rPr>
        <w:t>) Galveston Pier 21</w:t>
      </w:r>
      <w:r w:rsidR="001E0822">
        <w:rPr>
          <w:rFonts w:cs="Times New Roman"/>
          <w:szCs w:val="24"/>
          <w:lang w:val="en-GB"/>
        </w:rPr>
        <w:t xml:space="preserve">. Dashed </w:t>
      </w:r>
      <w:r w:rsidR="00A41760">
        <w:rPr>
          <w:rFonts w:cs="Times New Roman"/>
          <w:szCs w:val="24"/>
          <w:lang w:val="en-GB"/>
        </w:rPr>
        <w:t>black</w:t>
      </w:r>
      <w:r w:rsidR="009E3B67">
        <w:rPr>
          <w:rFonts w:cs="Times New Roman"/>
          <w:szCs w:val="24"/>
          <w:lang w:val="en-GB"/>
        </w:rPr>
        <w:t>, blue</w:t>
      </w:r>
      <w:r w:rsidR="005D27D1">
        <w:rPr>
          <w:rFonts w:cs="Times New Roman"/>
          <w:szCs w:val="24"/>
          <w:lang w:val="en-GB"/>
        </w:rPr>
        <w:t>,</w:t>
      </w:r>
      <w:r w:rsidR="009E3B67">
        <w:rPr>
          <w:rFonts w:cs="Times New Roman"/>
          <w:szCs w:val="24"/>
          <w:lang w:val="en-GB"/>
        </w:rPr>
        <w:t xml:space="preserve"> and red lines represent the 2% exceedance level, 20</w:t>
      </w:r>
      <w:r w:rsidR="009E3B67" w:rsidRPr="009E3B67">
        <w:rPr>
          <w:rFonts w:cs="Times New Roman"/>
          <w:szCs w:val="24"/>
          <w:vertAlign w:val="superscript"/>
          <w:lang w:val="en-GB"/>
        </w:rPr>
        <w:t>th</w:t>
      </w:r>
      <w:r w:rsidR="009E3B67">
        <w:rPr>
          <w:rFonts w:cs="Times New Roman"/>
          <w:szCs w:val="24"/>
          <w:lang w:val="en-GB"/>
        </w:rPr>
        <w:t xml:space="preserve"> highest water level</w:t>
      </w:r>
      <w:r w:rsidR="005D27D1">
        <w:rPr>
          <w:rFonts w:cs="Times New Roman"/>
          <w:szCs w:val="24"/>
          <w:lang w:val="en-GB"/>
        </w:rPr>
        <w:t>,</w:t>
      </w:r>
      <w:r w:rsidR="009E3B67">
        <w:rPr>
          <w:rFonts w:cs="Times New Roman"/>
          <w:szCs w:val="24"/>
          <w:lang w:val="en-GB"/>
        </w:rPr>
        <w:t xml:space="preserve"> and the NO</w:t>
      </w:r>
      <w:r w:rsidR="00925171">
        <w:rPr>
          <w:rFonts w:cs="Times New Roman"/>
          <w:szCs w:val="24"/>
          <w:lang w:val="en-GB"/>
        </w:rPr>
        <w:t>AA</w:t>
      </w:r>
      <w:r w:rsidR="009E3B67">
        <w:rPr>
          <w:rFonts w:cs="Times New Roman"/>
          <w:szCs w:val="24"/>
          <w:lang w:val="en-GB"/>
        </w:rPr>
        <w:t xml:space="preserve"> minor flood threshold</w:t>
      </w:r>
      <w:r w:rsidR="00925171">
        <w:rPr>
          <w:rFonts w:cs="Times New Roman"/>
          <w:szCs w:val="24"/>
          <w:lang w:val="en-GB"/>
        </w:rPr>
        <w:t>,</w:t>
      </w:r>
      <w:r w:rsidR="009E3B67">
        <w:rPr>
          <w:rFonts w:cs="Times New Roman"/>
          <w:szCs w:val="24"/>
          <w:lang w:val="en-GB"/>
        </w:rPr>
        <w:t xml:space="preserve"> respectively. </w:t>
      </w:r>
      <w:r w:rsidR="00925171" w:rsidRPr="00925171">
        <w:rPr>
          <w:rFonts w:cs="Times New Roman"/>
          <w:szCs w:val="24"/>
          <w:lang w:val="en-GB"/>
        </w:rPr>
        <w:t>The NO</w:t>
      </w:r>
      <w:r w:rsidR="00925171">
        <w:rPr>
          <w:rFonts w:cs="Times New Roman"/>
          <w:szCs w:val="24"/>
          <w:lang w:val="en-GB"/>
        </w:rPr>
        <w:t>AA</w:t>
      </w:r>
      <w:r w:rsidR="00925171" w:rsidRPr="00925171">
        <w:rPr>
          <w:rFonts w:cs="Times New Roman"/>
          <w:szCs w:val="24"/>
          <w:lang w:val="en-GB"/>
        </w:rPr>
        <w:t xml:space="preserve"> minor flood</w:t>
      </w:r>
      <w:r w:rsidR="00925171">
        <w:rPr>
          <w:rFonts w:cs="Times New Roman"/>
          <w:szCs w:val="24"/>
          <w:lang w:val="en-GB"/>
        </w:rPr>
        <w:t xml:space="preserve"> </w:t>
      </w:r>
      <w:r w:rsidR="00925171" w:rsidRPr="00925171">
        <w:rPr>
          <w:rFonts w:cs="Times New Roman"/>
          <w:szCs w:val="24"/>
          <w:lang w:val="en-GB"/>
        </w:rPr>
        <w:t>threshold</w:t>
      </w:r>
      <w:r w:rsidR="00925171">
        <w:rPr>
          <w:rFonts w:cs="Times New Roman"/>
          <w:szCs w:val="24"/>
          <w:lang w:val="en-GB"/>
        </w:rPr>
        <w:t>,</w:t>
      </w:r>
      <w:r w:rsidR="00925171" w:rsidRPr="00925171">
        <w:rPr>
          <w:rFonts w:cs="Times New Roman"/>
          <w:szCs w:val="24"/>
          <w:lang w:val="en-GB"/>
        </w:rPr>
        <w:t xml:space="preserve"> </w:t>
      </w:r>
      <w:r w:rsidR="00925171">
        <w:rPr>
          <w:rFonts w:cs="Times New Roman"/>
          <w:szCs w:val="24"/>
          <w:lang w:val="en-GB"/>
        </w:rPr>
        <w:t xml:space="preserve">from Appendix I of </w:t>
      </w:r>
      <w:r w:rsidR="00925171">
        <w:rPr>
          <w:color w:val="000000"/>
          <w:lang w:val="en-GB"/>
        </w:rPr>
        <w:t>Sweet et al. (2018)</w:t>
      </w:r>
      <w:r w:rsidR="00925171">
        <w:rPr>
          <w:rFonts w:cs="Times New Roman"/>
          <w:szCs w:val="24"/>
          <w:lang w:val="en-GB"/>
        </w:rPr>
        <w:t xml:space="preserve">, is </w:t>
      </w:r>
      <w:r w:rsidR="00925171" w:rsidRPr="00925171">
        <w:rPr>
          <w:rFonts w:cs="Times New Roman"/>
          <w:szCs w:val="24"/>
          <w:lang w:val="en-GB"/>
        </w:rPr>
        <w:t xml:space="preserve">adjusted from </w:t>
      </w:r>
      <w:r w:rsidR="009B6B56">
        <w:rPr>
          <w:rFonts w:cs="Times New Roman"/>
          <w:szCs w:val="24"/>
          <w:lang w:val="en-GB"/>
        </w:rPr>
        <w:t xml:space="preserve">being relative to </w:t>
      </w:r>
      <w:r w:rsidR="00925171" w:rsidRPr="00925171">
        <w:rPr>
          <w:rFonts w:cs="Times New Roman"/>
          <w:szCs w:val="24"/>
          <w:lang w:val="en-GB"/>
        </w:rPr>
        <w:t>the 1983</w:t>
      </w:r>
      <w:r w:rsidR="005B5CFC" w:rsidRPr="00A36EAE">
        <w:rPr>
          <w:rFonts w:cs="Times New Roman"/>
          <w:szCs w:val="24"/>
        </w:rPr>
        <w:t>–</w:t>
      </w:r>
      <w:r w:rsidR="00925171" w:rsidRPr="00925171">
        <w:rPr>
          <w:rFonts w:cs="Times New Roman"/>
          <w:szCs w:val="24"/>
          <w:lang w:val="en-GB"/>
        </w:rPr>
        <w:t>2001 epoch to</w:t>
      </w:r>
      <w:r w:rsidR="00CB5CD8">
        <w:rPr>
          <w:rFonts w:cs="Times New Roman"/>
          <w:szCs w:val="24"/>
          <w:lang w:val="en-GB"/>
        </w:rPr>
        <w:t xml:space="preserve"> instead</w:t>
      </w:r>
      <w:r w:rsidR="00925171" w:rsidRPr="00925171">
        <w:rPr>
          <w:rFonts w:cs="Times New Roman"/>
          <w:szCs w:val="24"/>
          <w:lang w:val="en-GB"/>
        </w:rPr>
        <w:t xml:space="preserve"> the 2002</w:t>
      </w:r>
      <w:r w:rsidR="005B5CFC" w:rsidRPr="00A36EAE">
        <w:rPr>
          <w:rFonts w:cs="Times New Roman"/>
          <w:szCs w:val="24"/>
        </w:rPr>
        <w:t>–</w:t>
      </w:r>
      <w:r w:rsidR="00925171" w:rsidRPr="00925171">
        <w:rPr>
          <w:rFonts w:cs="Times New Roman"/>
          <w:szCs w:val="24"/>
          <w:lang w:val="en-GB"/>
        </w:rPr>
        <w:t>2020 epoch</w:t>
      </w:r>
      <w:r w:rsidR="00E14D02">
        <w:rPr>
          <w:rFonts w:cs="Times New Roman"/>
          <w:szCs w:val="24"/>
          <w:lang w:val="en-GB"/>
        </w:rPr>
        <w:t>. The epoch adjustment is performed</w:t>
      </w:r>
      <w:r w:rsidR="00925171" w:rsidRPr="00925171">
        <w:rPr>
          <w:rFonts w:cs="Times New Roman"/>
          <w:szCs w:val="24"/>
          <w:lang w:val="en-GB"/>
        </w:rPr>
        <w:t xml:space="preserve"> by adding </w:t>
      </w:r>
      <w:r w:rsidR="007B0820">
        <w:rPr>
          <w:rFonts w:cs="Times New Roman"/>
          <w:szCs w:val="24"/>
          <w:lang w:val="en-GB"/>
        </w:rPr>
        <w:t xml:space="preserve">to the </w:t>
      </w:r>
      <w:r w:rsidR="00790C48">
        <w:rPr>
          <w:rFonts w:cs="Times New Roman"/>
          <w:szCs w:val="24"/>
          <w:lang w:val="en-GB"/>
        </w:rPr>
        <w:t xml:space="preserve">previous </w:t>
      </w:r>
      <w:r w:rsidR="007B0820">
        <w:rPr>
          <w:rFonts w:cs="Times New Roman"/>
          <w:szCs w:val="24"/>
          <w:lang w:val="en-GB"/>
        </w:rPr>
        <w:t xml:space="preserve">flood threshold </w:t>
      </w:r>
      <w:r w:rsidR="00925171" w:rsidRPr="00925171">
        <w:rPr>
          <w:rFonts w:cs="Times New Roman"/>
          <w:szCs w:val="24"/>
          <w:lang w:val="en-GB"/>
        </w:rPr>
        <w:t>the difference between MHHW datums, i.e., MHHW (1983</w:t>
      </w:r>
      <w:r w:rsidR="005B5CFC" w:rsidRPr="00A36EAE">
        <w:rPr>
          <w:rFonts w:cs="Times New Roman"/>
          <w:szCs w:val="24"/>
        </w:rPr>
        <w:t>–</w:t>
      </w:r>
      <w:r w:rsidR="00925171" w:rsidRPr="00925171">
        <w:rPr>
          <w:rFonts w:cs="Times New Roman"/>
          <w:szCs w:val="24"/>
          <w:lang w:val="en-GB"/>
        </w:rPr>
        <w:t>2001) minus MHHW (2002</w:t>
      </w:r>
      <w:r w:rsidR="005B5CFC" w:rsidRPr="00A36EAE">
        <w:rPr>
          <w:rFonts w:cs="Times New Roman"/>
          <w:szCs w:val="24"/>
        </w:rPr>
        <w:t>–</w:t>
      </w:r>
      <w:r w:rsidR="00925171" w:rsidRPr="00925171">
        <w:rPr>
          <w:rFonts w:cs="Times New Roman"/>
          <w:szCs w:val="24"/>
          <w:lang w:val="en-GB"/>
        </w:rPr>
        <w:t>2020)</w:t>
      </w:r>
      <w:r w:rsidR="00303765">
        <w:rPr>
          <w:rFonts w:cs="Times New Roman"/>
          <w:szCs w:val="24"/>
          <w:lang w:val="en-GB"/>
        </w:rPr>
        <w:t>,</w:t>
      </w:r>
      <w:r w:rsidR="00D61631">
        <w:rPr>
          <w:rFonts w:cs="Times New Roman"/>
          <w:szCs w:val="24"/>
          <w:lang w:val="en-GB"/>
        </w:rPr>
        <w:t xml:space="preserve"> so that the new threshold is relative to MHHW during the more recent epoch</w:t>
      </w:r>
      <w:r w:rsidR="00925171" w:rsidRPr="00925171">
        <w:rPr>
          <w:rFonts w:cs="Times New Roman"/>
          <w:szCs w:val="24"/>
          <w:lang w:val="en-GB"/>
        </w:rPr>
        <w:t>.</w:t>
      </w:r>
    </w:p>
    <w:p w14:paraId="4AF51B49" w14:textId="0CA50C6F" w:rsidR="00E96A52" w:rsidRDefault="00E96A52" w:rsidP="00E96A52">
      <w:pPr>
        <w:rPr>
          <w:rFonts w:cs="Times New Roman"/>
          <w:szCs w:val="24"/>
          <w:lang w:val="en-GB"/>
        </w:rPr>
      </w:pPr>
      <w:r w:rsidRPr="00E96A52">
        <w:rPr>
          <w:rFonts w:cs="Times New Roman"/>
          <w:b/>
          <w:bCs/>
          <w:szCs w:val="24"/>
          <w:lang w:val="en-GB"/>
        </w:rPr>
        <w:lastRenderedPageBreak/>
        <w:t xml:space="preserve">Supplementary Figure </w:t>
      </w:r>
      <w:r w:rsidR="00B7360A">
        <w:rPr>
          <w:rFonts w:cs="Times New Roman"/>
          <w:b/>
          <w:bCs/>
          <w:szCs w:val="24"/>
          <w:lang w:val="en-GB"/>
        </w:rPr>
        <w:t>4</w:t>
      </w:r>
      <w:r w:rsidRPr="003A09CD">
        <w:rPr>
          <w:rFonts w:cs="Times New Roman"/>
          <w:szCs w:val="24"/>
          <w:lang w:val="en-GB"/>
        </w:rPr>
        <w:t xml:space="preserve">. </w:t>
      </w:r>
      <w:r w:rsidRPr="006F2042">
        <w:rPr>
          <w:rFonts w:cs="Times New Roman"/>
          <w:szCs w:val="24"/>
          <w:lang w:val="en-GB"/>
        </w:rPr>
        <w:t xml:space="preserve">Hourly water levels and non-tidal residuals (m) for observations and CORA. Gray lines represent water level gauges and blue lines represent CORA for (A) Boston, (B) Newport, (C) The Battery, (D) Sewells Point, (E) Charleston, (F) Southbank Riverwalk, (G) Virginia Key, (H) Grand Isle, and (I) Galveston Pier 21. Water levels with respect to the MHHW datums are shown for October 15-November 15, 2012 (left panels), and the non-tidal residuals are shown for six days </w:t>
      </w:r>
      <w:proofErr w:type="spellStart"/>
      <w:r w:rsidRPr="006F2042">
        <w:rPr>
          <w:rFonts w:cs="Times New Roman"/>
          <w:szCs w:val="24"/>
          <w:lang w:val="en-GB"/>
        </w:rPr>
        <w:t>centered</w:t>
      </w:r>
      <w:proofErr w:type="spellEnd"/>
      <w:r w:rsidRPr="006F2042">
        <w:rPr>
          <w:rFonts w:cs="Times New Roman"/>
          <w:szCs w:val="24"/>
          <w:lang w:val="en-GB"/>
        </w:rPr>
        <w:t xml:space="preserve"> on October 29, 2012 (right panels; Hurricane Sandy landfall).</w:t>
      </w:r>
    </w:p>
    <w:p w14:paraId="3824AAF8" w14:textId="0D78F967" w:rsidR="00E96A52" w:rsidRDefault="00E96A52" w:rsidP="00E96A52">
      <w:pPr>
        <w:rPr>
          <w:rFonts w:cs="Times New Roman"/>
          <w:szCs w:val="24"/>
          <w:lang w:val="en-GB"/>
        </w:rPr>
      </w:pPr>
      <w:r w:rsidRPr="00E96A52">
        <w:rPr>
          <w:rFonts w:cs="Times New Roman"/>
          <w:b/>
          <w:bCs/>
          <w:szCs w:val="24"/>
          <w:lang w:val="en-GB"/>
        </w:rPr>
        <w:t xml:space="preserve">Supplementary Figure </w:t>
      </w:r>
      <w:r w:rsidR="00B7360A">
        <w:rPr>
          <w:rFonts w:cs="Times New Roman"/>
          <w:b/>
          <w:bCs/>
          <w:szCs w:val="24"/>
          <w:lang w:val="en-GB"/>
        </w:rPr>
        <w:t>5</w:t>
      </w:r>
      <w:r w:rsidRPr="003A09CD">
        <w:rPr>
          <w:rFonts w:cs="Times New Roman"/>
          <w:szCs w:val="24"/>
          <w:lang w:val="en-GB"/>
        </w:rPr>
        <w:t xml:space="preserve">. </w:t>
      </w:r>
      <w:r w:rsidR="004D17AE" w:rsidRPr="003F535E">
        <w:rPr>
          <w:rFonts w:cs="Times New Roman"/>
          <w:szCs w:val="24"/>
        </w:rPr>
        <w:t>Annual occurrence of extreme water levels according to the 2% exceedance threshold with respect to MHHW for locations on the Gulf and East Coasts</w:t>
      </w:r>
      <w:r w:rsidR="004D17AE">
        <w:rPr>
          <w:rFonts w:cs="Times New Roman"/>
          <w:szCs w:val="24"/>
        </w:rPr>
        <w:t>, based on detrended water levels</w:t>
      </w:r>
      <w:r w:rsidR="004D17AE" w:rsidRPr="003F535E">
        <w:rPr>
          <w:rFonts w:cs="Times New Roman"/>
          <w:szCs w:val="24"/>
        </w:rPr>
        <w:t xml:space="preserve">. (A) Results from observations (years with unavailable data for a location are gray). (B) Results from CORA (locations not assessed for 2% exceedance are gray; </w:t>
      </w:r>
      <w:r w:rsidR="004D17AE">
        <w:rPr>
          <w:rFonts w:cs="Times New Roman"/>
          <w:szCs w:val="24"/>
        </w:rPr>
        <w:t>Supplementary Table 1</w:t>
      </w:r>
      <w:r w:rsidR="004D17AE" w:rsidRPr="003F535E">
        <w:rPr>
          <w:rFonts w:cs="Times New Roman"/>
          <w:szCs w:val="24"/>
        </w:rPr>
        <w:t>). Color shading indicates the number of days per year when the maximum water level is above the 2% exceedance threshold at a particular location. Numbers on the y-axes indicate every fifth location (see Table 1 for the water level</w:t>
      </w:r>
      <w:r w:rsidR="004D17AE">
        <w:rPr>
          <w:rFonts w:cs="Times New Roman"/>
          <w:szCs w:val="24"/>
        </w:rPr>
        <w:t xml:space="preserve"> </w:t>
      </w:r>
      <w:r w:rsidR="004D17AE" w:rsidRPr="003F535E">
        <w:rPr>
          <w:rFonts w:cs="Times New Roman"/>
          <w:szCs w:val="24"/>
        </w:rPr>
        <w:t>gauge names). Locations are organized by latitude and region, with the northernmost (East Coast) at the top and a dashed line separating the Gulf Coast at the bottom. (C) Regionally averaged annual occurrence of extreme water level days: Solid (dashed) lines are for the East (Gulf) Coast and gray (blue) colors are for the observations (CORA).</w:t>
      </w:r>
    </w:p>
    <w:p w14:paraId="58F1AED1" w14:textId="77777777" w:rsidR="00DE23E8" w:rsidRPr="001549D3" w:rsidRDefault="00DE23E8" w:rsidP="00654E8F">
      <w:pPr>
        <w:spacing w:before="240"/>
      </w:pPr>
    </w:p>
    <w:sectPr w:rsidR="00DE23E8" w:rsidRPr="001549D3" w:rsidSect="0093429D">
      <w:headerReference w:type="even" r:id="rId12"/>
      <w:footerReference w:type="even" r:id="rId13"/>
      <w:footerReference w:type="default" r:id="rId14"/>
      <w:headerReference w:type="first" r:id="rId15"/>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EB5E9" w14:textId="77777777" w:rsidR="009F27AD" w:rsidRDefault="009F27AD" w:rsidP="00117666">
      <w:pPr>
        <w:spacing w:after="0"/>
      </w:pPr>
      <w:r>
        <w:separator/>
      </w:r>
    </w:p>
  </w:endnote>
  <w:endnote w:type="continuationSeparator" w:id="0">
    <w:p w14:paraId="3351259D" w14:textId="77777777" w:rsidR="009F27AD" w:rsidRDefault="009F27AD"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B28" w14:textId="77777777" w:rsidR="006E4648"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00A152CD" wp14:editId="47F23114">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D054D26" w14:textId="77777777" w:rsidR="006E4648"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00A152C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4D054D26" w14:textId="77777777" w:rsidR="006E4648"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FF27" w14:textId="77777777" w:rsidR="006E4648"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3151A55C" wp14:editId="2441783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85E15EB" w14:textId="77777777" w:rsidR="006E4648"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3151A55C"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085E15EB" w14:textId="77777777" w:rsidR="006E4648"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B6F0E" w14:textId="77777777" w:rsidR="009F27AD" w:rsidRDefault="009F27AD" w:rsidP="00117666">
      <w:pPr>
        <w:spacing w:after="0"/>
      </w:pPr>
      <w:r>
        <w:separator/>
      </w:r>
    </w:p>
  </w:footnote>
  <w:footnote w:type="continuationSeparator" w:id="0">
    <w:p w14:paraId="442C9994" w14:textId="77777777" w:rsidR="009F27AD" w:rsidRDefault="009F27AD"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EDBA" w14:textId="77777777" w:rsidR="006E4648"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1A5B" w14:textId="77777777" w:rsidR="006E4648" w:rsidRDefault="0093429D" w:rsidP="0093429D">
    <w:r w:rsidRPr="005A1D84">
      <w:rPr>
        <w:b/>
        <w:noProof/>
        <w:color w:val="A6A6A6" w:themeColor="background1" w:themeShade="A6"/>
        <w:lang w:val="en-GB" w:eastAsia="en-GB"/>
      </w:rPr>
      <w:drawing>
        <wp:inline distT="0" distB="0" distL="0" distR="0" wp14:anchorId="7EAE9060" wp14:editId="09E5B960">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24"/>
    <w:rsid w:val="00011BA0"/>
    <w:rsid w:val="0001436A"/>
    <w:rsid w:val="00034304"/>
    <w:rsid w:val="00035434"/>
    <w:rsid w:val="00052A14"/>
    <w:rsid w:val="00057EA4"/>
    <w:rsid w:val="00077D53"/>
    <w:rsid w:val="00105FD9"/>
    <w:rsid w:val="00117666"/>
    <w:rsid w:val="001549D3"/>
    <w:rsid w:val="00160065"/>
    <w:rsid w:val="00177D84"/>
    <w:rsid w:val="001E0822"/>
    <w:rsid w:val="00267D18"/>
    <w:rsid w:val="002868E2"/>
    <w:rsid w:val="002869C3"/>
    <w:rsid w:val="002936E4"/>
    <w:rsid w:val="002B4A57"/>
    <w:rsid w:val="002C74CA"/>
    <w:rsid w:val="00303765"/>
    <w:rsid w:val="003544FB"/>
    <w:rsid w:val="00393C17"/>
    <w:rsid w:val="003C61A0"/>
    <w:rsid w:val="003D2F2D"/>
    <w:rsid w:val="00401590"/>
    <w:rsid w:val="00447801"/>
    <w:rsid w:val="004524B7"/>
    <w:rsid w:val="00452E9C"/>
    <w:rsid w:val="00465CF6"/>
    <w:rsid w:val="004735C8"/>
    <w:rsid w:val="004961FF"/>
    <w:rsid w:val="004D17AE"/>
    <w:rsid w:val="004F504C"/>
    <w:rsid w:val="00517A89"/>
    <w:rsid w:val="005250F2"/>
    <w:rsid w:val="00531908"/>
    <w:rsid w:val="00593EEA"/>
    <w:rsid w:val="005A5EEE"/>
    <w:rsid w:val="005B5CFC"/>
    <w:rsid w:val="005D27D1"/>
    <w:rsid w:val="005D309D"/>
    <w:rsid w:val="00604501"/>
    <w:rsid w:val="006375C7"/>
    <w:rsid w:val="00654E8F"/>
    <w:rsid w:val="00660D05"/>
    <w:rsid w:val="006820B1"/>
    <w:rsid w:val="006859E9"/>
    <w:rsid w:val="006B7D14"/>
    <w:rsid w:val="006E4648"/>
    <w:rsid w:val="00701727"/>
    <w:rsid w:val="0070566C"/>
    <w:rsid w:val="00714C50"/>
    <w:rsid w:val="00725A7D"/>
    <w:rsid w:val="007501BE"/>
    <w:rsid w:val="00790BB3"/>
    <w:rsid w:val="00790C48"/>
    <w:rsid w:val="00797DD4"/>
    <w:rsid w:val="007A0CFE"/>
    <w:rsid w:val="007B0820"/>
    <w:rsid w:val="007C206C"/>
    <w:rsid w:val="00803D24"/>
    <w:rsid w:val="00817DD6"/>
    <w:rsid w:val="00885156"/>
    <w:rsid w:val="009151AA"/>
    <w:rsid w:val="00925171"/>
    <w:rsid w:val="0093429D"/>
    <w:rsid w:val="00943573"/>
    <w:rsid w:val="00965798"/>
    <w:rsid w:val="00970F7D"/>
    <w:rsid w:val="00984678"/>
    <w:rsid w:val="00994A3D"/>
    <w:rsid w:val="009B6B56"/>
    <w:rsid w:val="009C2B12"/>
    <w:rsid w:val="009C70F3"/>
    <w:rsid w:val="009E2F7C"/>
    <w:rsid w:val="009E3B67"/>
    <w:rsid w:val="009F27AD"/>
    <w:rsid w:val="00A174D9"/>
    <w:rsid w:val="00A17CD5"/>
    <w:rsid w:val="00A36EAE"/>
    <w:rsid w:val="00A41760"/>
    <w:rsid w:val="00A569CD"/>
    <w:rsid w:val="00AB6297"/>
    <w:rsid w:val="00AB6715"/>
    <w:rsid w:val="00B1671E"/>
    <w:rsid w:val="00B25EB8"/>
    <w:rsid w:val="00B354E1"/>
    <w:rsid w:val="00B37F4D"/>
    <w:rsid w:val="00B7360A"/>
    <w:rsid w:val="00C345F3"/>
    <w:rsid w:val="00C52A7B"/>
    <w:rsid w:val="00C56BAF"/>
    <w:rsid w:val="00C679AA"/>
    <w:rsid w:val="00C75972"/>
    <w:rsid w:val="00CB5CD8"/>
    <w:rsid w:val="00CC0A3A"/>
    <w:rsid w:val="00CD066B"/>
    <w:rsid w:val="00CE4FEE"/>
    <w:rsid w:val="00D61631"/>
    <w:rsid w:val="00DB59C3"/>
    <w:rsid w:val="00DC259A"/>
    <w:rsid w:val="00DC676C"/>
    <w:rsid w:val="00DE1659"/>
    <w:rsid w:val="00DE23E8"/>
    <w:rsid w:val="00E11890"/>
    <w:rsid w:val="00E14D02"/>
    <w:rsid w:val="00E4473C"/>
    <w:rsid w:val="00E52377"/>
    <w:rsid w:val="00E64E17"/>
    <w:rsid w:val="00E866C9"/>
    <w:rsid w:val="00E96A52"/>
    <w:rsid w:val="00EA3D3C"/>
    <w:rsid w:val="00F114AF"/>
    <w:rsid w:val="00F46900"/>
    <w:rsid w:val="00F61D89"/>
    <w:rsid w:val="00F74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487BD"/>
  <w15:docId w15:val="{133E554D-C33E-435D-A5BC-605DF70A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unhideWhenUsed/>
    <w:rsid w:val="00AB6715"/>
    <w:rPr>
      <w:sz w:val="20"/>
      <w:szCs w:val="20"/>
    </w:rPr>
  </w:style>
  <w:style w:type="character" w:customStyle="1" w:styleId="CommentTextChar">
    <w:name w:val="Comment Text Char"/>
    <w:basedOn w:val="DefaultParagraphFont"/>
    <w:link w:val="CommentText"/>
    <w:uiPriority w:val="99"/>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paragraph" w:styleId="Revision">
    <w:name w:val="Revision"/>
    <w:hidden/>
    <w:uiPriority w:val="99"/>
    <w:semiHidden/>
    <w:rsid w:val="00803D2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FRONDOC-1086935359-10119</_dlc_DocId>
    <_dlc_DocIdUrl xmlns="26005759-6815-4540-b8ea-913958d74f23">
      <Url>https://frontiersin.sharepoint.com/Publishing/PubOps/Production/_layouts/15/DocIdRedir.aspx?ID=FRONDOC-1086935359-10119</Url>
      <Description>FRONDOC-1086935359-10119</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885ac53139f20652f850277d10459b85">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b20dbcea35cbef169bcf39aab5233ab6"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314AF-3C36-4C2C-B599-40A76C6FFFC1}">
  <ds:schemaRefs>
    <ds:schemaRef ds:uri="http://schemas.openxmlformats.org/officeDocument/2006/bibliography"/>
  </ds:schemaRefs>
</ds:datastoreItem>
</file>

<file path=customXml/itemProps2.xml><?xml version="1.0" encoding="utf-8"?>
<ds:datastoreItem xmlns:ds="http://schemas.openxmlformats.org/officeDocument/2006/customXml" ds:itemID="{2558679B-78FB-42CD-A1EA-A99096AF5568}">
  <ds:schemaRefs>
    <ds:schemaRef ds:uri="http://schemas.microsoft.com/sharepoint/events"/>
  </ds:schemaRefs>
</ds:datastoreItem>
</file>

<file path=customXml/itemProps3.xml><?xml version="1.0" encoding="utf-8"?>
<ds:datastoreItem xmlns:ds="http://schemas.openxmlformats.org/officeDocument/2006/customXml" ds:itemID="{4B2E0E22-D442-4EBE-AAA2-EDC8871E7B41}">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customXml/itemProps4.xml><?xml version="1.0" encoding="utf-8"?>
<ds:datastoreItem xmlns:ds="http://schemas.openxmlformats.org/officeDocument/2006/customXml" ds:itemID="{A3D4929F-83D0-432F-8F82-6D4423C25F5E}">
  <ds:schemaRefs>
    <ds:schemaRef ds:uri="http://schemas.microsoft.com/sharepoint/v3/contenttype/forms"/>
  </ds:schemaRefs>
</ds:datastoreItem>
</file>

<file path=customXml/itemProps5.xml><?xml version="1.0" encoding="utf-8"?>
<ds:datastoreItem xmlns:ds="http://schemas.openxmlformats.org/officeDocument/2006/customXml" ds:itemID="{DFF441E3-103C-4487-877D-08CD22337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144</TotalTime>
  <Pages>1</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Frontiers</dc:creator>
  <cp:lastModifiedBy>Linta Rose</cp:lastModifiedBy>
  <cp:revision>28</cp:revision>
  <cp:lastPrinted>2013-10-03T12:51:00Z</cp:lastPrinted>
  <dcterms:created xsi:type="dcterms:W3CDTF">2024-01-24T03:41:00Z</dcterms:created>
  <dcterms:modified xsi:type="dcterms:W3CDTF">2024-04-30T05:31:00Z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f82bb101-9b00-462e-af01-9a0e7ec06274</vt:lpwstr>
  </property>
  <property fmtid="{D5CDD505-2E9C-101B-9397-08002B2CF9AE}" pid="4" name="Order">
    <vt:r8>1011900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